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游明朝" w:cs="游明朝" w:eastAsia="游明朝" w:hAnsi="游明朝"/>
          <w:b/>
          <w:bCs/>
          <w:sz w:val="34"/>
          <w:szCs w:val="34"/>
        </w:rPr>
        <w:t xml:space="preserve">出張旅費規程</w:t>
      </w:r>
    </w:p>
    <w:p>
      <w:pPr>
        <w:spacing w:after="340"/>
        <w:jc w:val="center"/>
      </w:pPr>
      <w:r>
        <w:rPr>
          <w:rFonts w:ascii="游ゴシック" w:cs="游ゴシック" w:eastAsia="游ゴシック" w:hAnsi="游ゴシック"/>
          <w:color w:val="6B7183"/>
          <w:sz w:val="20"/>
          <w:szCs w:val="20"/>
        </w:rPr>
        <w:t xml:space="preserve">【会社名を記入してください】</w:t>
      </w:r>
    </w:p>
    <w:p>
      <w:pPr>
        <w:keepNext/>
        <w:spacing w:after="90" w:before="260"/>
      </w:pPr>
      <w:r>
        <w:rPr>
          <w:rFonts w:ascii="游明朝" w:cs="游明朝" w:eastAsia="游明朝" w:hAnsi="游明朝"/>
          <w:b/>
          <w:bCs/>
          <w:sz w:val="21"/>
          <w:szCs w:val="21"/>
        </w:rPr>
        <w:t xml:space="preserve">第1条（目的）</w:t>
      </w:r>
    </w:p>
    <w:p>
      <w:pPr>
        <w:spacing w:after="70"/>
      </w:pPr>
      <w:r>
        <w:rPr>
          <w:rFonts w:ascii="游明朝" w:cs="游明朝" w:eastAsia="游明朝" w:hAnsi="游明朝"/>
          <w:sz w:val="21"/>
          <w:szCs w:val="21"/>
        </w:rPr>
        <w:t xml:space="preserve">この規程は、【会社名】（以下「会社」という。）の役員および従業員が、業務のため出張する場合の手続および旅費の支給基準について定めるものである。</w:t>
      </w:r>
    </w:p>
    <w:p>
      <w:pPr>
        <w:keepNext/>
        <w:spacing w:after="90" w:before="260"/>
      </w:pPr>
      <w:r>
        <w:rPr>
          <w:rFonts w:ascii="游明朝" w:cs="游明朝" w:eastAsia="游明朝" w:hAnsi="游明朝"/>
          <w:b/>
          <w:bCs/>
          <w:sz w:val="21"/>
          <w:szCs w:val="21"/>
        </w:rPr>
        <w:t xml:space="preserve">第2条（適用範囲）</w:t>
      </w:r>
    </w:p>
    <w:p>
      <w:pPr>
        <w:spacing w:after="70"/>
      </w:pPr>
      <w:r>
        <w:rPr>
          <w:rFonts w:ascii="游明朝" w:cs="游明朝" w:eastAsia="游明朝" w:hAnsi="游明朝"/>
          <w:sz w:val="21"/>
          <w:szCs w:val="21"/>
        </w:rPr>
        <w:t xml:space="preserve">この規程は、会社の役員および従業員のすべてに適用する。</w:t>
      </w:r>
    </w:p>
    <w:p>
      <w:pPr>
        <w:keepNext/>
        <w:spacing w:after="90" w:before="260"/>
      </w:pPr>
      <w:r>
        <w:rPr>
          <w:rFonts w:ascii="游明朝" w:cs="游明朝" w:eastAsia="游明朝" w:hAnsi="游明朝"/>
          <w:b/>
          <w:bCs/>
          <w:sz w:val="21"/>
          <w:szCs w:val="21"/>
        </w:rPr>
        <w:t xml:space="preserve">第3条（出張の定義）</w:t>
      </w:r>
    </w:p>
    <w:p>
      <w:pPr>
        <w:spacing w:after="70"/>
      </w:pPr>
      <w:r>
        <w:rPr>
          <w:rFonts w:ascii="游明朝" w:cs="游明朝" w:eastAsia="游明朝" w:hAnsi="游明朝"/>
          <w:sz w:val="21"/>
          <w:szCs w:val="21"/>
        </w:rPr>
        <w:t xml:space="preserve">この規程において出張とは、会社の業務のため、通常の勤務地を離れて用務地へ赴くことをいい、次のとおり区分する。</w:t>
      </w:r>
    </w:p>
    <w:p>
      <w:pPr>
        <w:spacing w:after="70"/>
        <w:ind w:left="220"/>
      </w:pPr>
      <w:r>
        <w:rPr>
          <w:rFonts w:ascii="游明朝" w:cs="游明朝" w:eastAsia="游明朝" w:hAnsi="游明朝"/>
          <w:sz w:val="21"/>
          <w:szCs w:val="21"/>
        </w:rPr>
        <w:t xml:space="preserve">(1) 日帰り出張　勤務地から片道【　　】km を超える地域へ赴き、宿泊を伴わないもの</w:t>
      </w:r>
    </w:p>
    <w:p>
      <w:pPr>
        <w:spacing w:after="70"/>
        <w:ind w:left="220"/>
      </w:pPr>
      <w:r>
        <w:rPr>
          <w:rFonts w:ascii="游明朝" w:cs="游明朝" w:eastAsia="游明朝" w:hAnsi="游明朝"/>
          <w:sz w:val="21"/>
          <w:szCs w:val="21"/>
        </w:rPr>
        <w:t xml:space="preserve">(2) 宿泊出張　　前号の地域へ赴き、宿泊を伴うもの</w:t>
      </w:r>
    </w:p>
    <w:p>
      <w:pPr>
        <w:spacing w:after="70"/>
        <w:ind w:left="220"/>
      </w:pPr>
      <w:r>
        <w:rPr>
          <w:rFonts w:ascii="游明朝" w:cs="游明朝" w:eastAsia="游明朝" w:hAnsi="游明朝"/>
          <w:sz w:val="21"/>
          <w:szCs w:val="21"/>
        </w:rPr>
        <w:t xml:space="preserve">(3) 海外出張　　日本国外へ赴くもの</w:t>
      </w:r>
    </w:p>
    <w:p>
      <w:pPr>
        <w:spacing w:after="70"/>
        <w:ind w:left="220"/>
      </w:pPr>
      <w:r>
        <w:rPr>
          <w:rFonts w:ascii="游ゴシック" w:cs="游ゴシック" w:eastAsia="游ゴシック" w:hAnsi="游ゴシック"/>
          <w:color w:val="555F70"/>
          <w:sz w:val="18"/>
          <w:szCs w:val="18"/>
        </w:rPr>
        <w:t xml:space="preserve">※ 距離や所要時間の基準を定めておくと、近隣への移動と出張の線引きが明確になります。</w:t>
      </w:r>
    </w:p>
    <w:p>
      <w:pPr>
        <w:keepNext/>
        <w:spacing w:after="90" w:before="260"/>
      </w:pPr>
      <w:r>
        <w:rPr>
          <w:rFonts w:ascii="游明朝" w:cs="游明朝" w:eastAsia="游明朝" w:hAnsi="游明朝"/>
          <w:b/>
          <w:bCs/>
          <w:sz w:val="21"/>
          <w:szCs w:val="21"/>
        </w:rPr>
        <w:t xml:space="preserve">第4条（旅費の種類）</w:t>
      </w:r>
    </w:p>
    <w:p>
      <w:pPr>
        <w:spacing w:after="70"/>
      </w:pPr>
      <w:r>
        <w:rPr>
          <w:rFonts w:ascii="游明朝" w:cs="游明朝" w:eastAsia="游明朝" w:hAnsi="游明朝"/>
          <w:sz w:val="21"/>
          <w:szCs w:val="21"/>
        </w:rPr>
        <w:t xml:space="preserve">旅費は、交通費、宿泊料および日当とする。</w:t>
      </w:r>
    </w:p>
    <w:p>
      <w:pPr>
        <w:keepNext/>
        <w:spacing w:after="90" w:before="260"/>
      </w:pPr>
      <w:r>
        <w:rPr>
          <w:rFonts w:ascii="游明朝" w:cs="游明朝" w:eastAsia="游明朝" w:hAnsi="游明朝"/>
          <w:b/>
          <w:bCs/>
          <w:sz w:val="21"/>
          <w:szCs w:val="21"/>
        </w:rPr>
        <w:t xml:space="preserve">第5条（交通費）</w:t>
      </w:r>
    </w:p>
    <w:p>
      <w:pPr>
        <w:spacing w:after="70"/>
      </w:pPr>
      <w:r>
        <w:rPr>
          <w:rFonts w:ascii="游明朝" w:cs="游明朝" w:eastAsia="游明朝" w:hAnsi="游明朝"/>
          <w:sz w:val="21"/>
          <w:szCs w:val="21"/>
        </w:rPr>
        <w:t xml:space="preserve">交通費は、目的地までの通常の経路および方法による実費を支給する。</w:t>
      </w:r>
    </w:p>
    <w:p>
      <w:pPr>
        <w:spacing w:after="70"/>
        <w:ind w:left="220"/>
      </w:pPr>
      <w:r>
        <w:rPr>
          <w:rFonts w:ascii="游明朝" w:cs="游明朝" w:eastAsia="游明朝" w:hAnsi="游明朝"/>
          <w:sz w:val="21"/>
          <w:szCs w:val="21"/>
        </w:rPr>
        <w:t xml:space="preserve">2　新幹線その他の特急料金は、片道【　　】km 以上の区間について支給する。</w:t>
      </w:r>
    </w:p>
    <w:p>
      <w:pPr>
        <w:spacing w:after="70"/>
        <w:ind w:left="220"/>
      </w:pPr>
      <w:r>
        <w:rPr>
          <w:rFonts w:ascii="游明朝" w:cs="游明朝" w:eastAsia="游明朝" w:hAnsi="游明朝"/>
          <w:sz w:val="21"/>
          <w:szCs w:val="21"/>
        </w:rPr>
        <w:t xml:space="preserve">3　グリーン車およびこれに準ずる座席の利用は、代表取締役が必要と認めた場合に限る。</w:t>
      </w:r>
    </w:p>
    <w:p>
      <w:pPr>
        <w:spacing w:after="70"/>
        <w:ind w:left="220"/>
      </w:pPr>
      <w:r>
        <w:rPr>
          <w:rFonts w:ascii="游明朝" w:cs="游明朝" w:eastAsia="游明朝" w:hAnsi="游明朝"/>
          <w:sz w:val="21"/>
          <w:szCs w:val="21"/>
        </w:rPr>
        <w:t xml:space="preserve">4　自家用車を使用した場合は、走行距離1kmあたり【　　】円を交通費として支給する。この場合、有料道路の通行料および駐車料金は実費を支給する。</w:t>
      </w:r>
    </w:p>
    <w:p>
      <w:pPr>
        <w:keepNext/>
        <w:spacing w:after="90" w:before="260"/>
      </w:pPr>
      <w:r>
        <w:rPr>
          <w:rFonts w:ascii="游明朝" w:cs="游明朝" w:eastAsia="游明朝" w:hAnsi="游明朝"/>
          <w:b/>
          <w:bCs/>
          <w:sz w:val="21"/>
          <w:szCs w:val="21"/>
        </w:rPr>
        <w:t xml:space="preserve">第6条（宿泊料）</w:t>
      </w:r>
    </w:p>
    <w:p>
      <w:pPr>
        <w:spacing w:after="70"/>
      </w:pPr>
      <w:r>
        <w:rPr>
          <w:rFonts w:ascii="游明朝" w:cs="游明朝" w:eastAsia="游明朝" w:hAnsi="游明朝"/>
          <w:sz w:val="21"/>
          <w:szCs w:val="21"/>
        </w:rPr>
        <w:t xml:space="preserve">宿泊料は、別表第1に定める額を上限として、実費を支給する。</w:t>
      </w:r>
    </w:p>
    <w:p>
      <w:pPr>
        <w:spacing w:after="70"/>
        <w:ind w:left="220"/>
      </w:pPr>
      <w:r>
        <w:rPr>
          <w:rFonts w:ascii="游明朝" w:cs="游明朝" w:eastAsia="游明朝" w:hAnsi="游明朝"/>
          <w:sz w:val="21"/>
          <w:szCs w:val="21"/>
        </w:rPr>
        <w:t xml:space="preserve">2　用務地の事情により上限額を超えることがやむを得ない場合は、事前に代表取締役の承認を受けたうえで実費を支給することができる。</w:t>
      </w:r>
    </w:p>
    <w:p>
      <w:pPr>
        <w:keepNext/>
        <w:spacing w:after="90" w:before="260"/>
      </w:pPr>
      <w:r>
        <w:rPr>
          <w:rFonts w:ascii="游明朝" w:cs="游明朝" w:eastAsia="游明朝" w:hAnsi="游明朝"/>
          <w:b/>
          <w:bCs/>
          <w:sz w:val="21"/>
          <w:szCs w:val="21"/>
        </w:rPr>
        <w:t xml:space="preserve">第7条（日当）</w:t>
      </w:r>
    </w:p>
    <w:p>
      <w:pPr>
        <w:spacing w:after="70"/>
      </w:pPr>
      <w:r>
        <w:rPr>
          <w:rFonts w:ascii="游明朝" w:cs="游明朝" w:eastAsia="游明朝" w:hAnsi="游明朝"/>
          <w:sz w:val="21"/>
          <w:szCs w:val="21"/>
        </w:rPr>
        <w:t xml:space="preserve">日当は、出張中の諸雑費に充てるため、別表第1に定める額を支給する。</w:t>
      </w:r>
    </w:p>
    <w:p>
      <w:pPr>
        <w:spacing w:after="70"/>
        <w:ind w:left="220"/>
      </w:pPr>
      <w:r>
        <w:rPr>
          <w:rFonts w:ascii="游明朝" w:cs="游明朝" w:eastAsia="游明朝" w:hAnsi="游明朝"/>
          <w:sz w:val="21"/>
          <w:szCs w:val="21"/>
        </w:rPr>
        <w:t xml:space="preserve">2　日当については、領収書の提出を要しない。</w:t>
      </w:r>
    </w:p>
    <w:p>
      <w:pPr>
        <w:spacing w:after="70"/>
        <w:ind w:left="220"/>
      </w:pPr>
      <w:r>
        <w:rPr>
          <w:rFonts w:ascii="游明朝" w:cs="游明朝" w:eastAsia="游明朝" w:hAnsi="游明朝"/>
          <w:sz w:val="21"/>
          <w:szCs w:val="21"/>
        </w:rPr>
        <w:t xml:space="preserve">3　同一の用務地に連続して滞在する場合その他会社が必要と認める場合は、日当の額を調整することがある。</w:t>
      </w:r>
    </w:p>
    <w:p>
      <w:pPr>
        <w:keepNext/>
        <w:spacing w:after="90" w:before="260"/>
      </w:pPr>
      <w:r>
        <w:rPr>
          <w:rFonts w:ascii="游明朝" w:cs="游明朝" w:eastAsia="游明朝" w:hAnsi="游明朝"/>
          <w:b/>
          <w:bCs/>
          <w:sz w:val="21"/>
          <w:szCs w:val="21"/>
        </w:rPr>
        <w:t xml:space="preserve">第8条（旅費の額）</w:t>
      </w:r>
    </w:p>
    <w:p>
      <w:pPr>
        <w:spacing w:after="70"/>
      </w:pPr>
      <w:r>
        <w:rPr>
          <w:rFonts w:ascii="游明朝" w:cs="游明朝" w:eastAsia="游明朝" w:hAnsi="游明朝"/>
          <w:sz w:val="21"/>
          <w:szCs w:val="21"/>
        </w:rPr>
        <w:t xml:space="preserve">国内出張の旅費の額は別表第1、海外出張の旅費の額は別表第2のとおりとする。</w:t>
      </w:r>
    </w:p>
    <w:p>
      <w:pPr>
        <w:keepNext/>
        <w:spacing w:after="90" w:before="260"/>
      </w:pPr>
      <w:r>
        <w:rPr>
          <w:rFonts w:ascii="游明朝" w:cs="游明朝" w:eastAsia="游明朝" w:hAnsi="游明朝"/>
          <w:b/>
          <w:bCs/>
          <w:sz w:val="21"/>
          <w:szCs w:val="21"/>
        </w:rPr>
        <w:t xml:space="preserve">第9条（仮払い）</w:t>
      </w:r>
    </w:p>
    <w:p>
      <w:pPr>
        <w:spacing w:after="70"/>
      </w:pPr>
      <w:r>
        <w:rPr>
          <w:rFonts w:ascii="游明朝" w:cs="游明朝" w:eastAsia="游明朝" w:hAnsi="游明朝"/>
          <w:sz w:val="21"/>
          <w:szCs w:val="21"/>
        </w:rPr>
        <w:t xml:space="preserve">出張者は、あらかじめ旅費の概算額の仮払いを受けることができる。この場合、出張終了後【　　】日以内に精算しなければならない。</w:t>
      </w:r>
    </w:p>
    <w:p>
      <w:pPr>
        <w:keepNext/>
        <w:spacing w:after="90" w:before="260"/>
      </w:pPr>
      <w:r>
        <w:rPr>
          <w:rFonts w:ascii="游明朝" w:cs="游明朝" w:eastAsia="游明朝" w:hAnsi="游明朝"/>
          <w:b/>
          <w:bCs/>
          <w:sz w:val="21"/>
          <w:szCs w:val="21"/>
        </w:rPr>
        <w:t xml:space="preserve">第10条（出張報告および精算）</w:t>
      </w:r>
    </w:p>
    <w:p>
      <w:pPr>
        <w:spacing w:after="70"/>
      </w:pPr>
      <w:r>
        <w:rPr>
          <w:rFonts w:ascii="游明朝" w:cs="游明朝" w:eastAsia="游明朝" w:hAnsi="游明朝"/>
          <w:sz w:val="21"/>
          <w:szCs w:val="21"/>
        </w:rPr>
        <w:t xml:space="preserve">出張者は、出張終了後【　　】日以内に、出張報告書に次の事項を記載し、交通費および宿泊料の領収書を添えて提出しなければならない。</w:t>
      </w:r>
    </w:p>
    <w:p>
      <w:pPr>
        <w:spacing w:after="70"/>
        <w:ind w:left="220"/>
      </w:pPr>
      <w:r>
        <w:rPr>
          <w:rFonts w:ascii="游明朝" w:cs="游明朝" w:eastAsia="游明朝" w:hAnsi="游明朝"/>
          <w:sz w:val="21"/>
          <w:szCs w:val="21"/>
        </w:rPr>
        <w:t xml:space="preserve">(1) 出張の期間　(2) 用務地　(3) 訪問先および面談者　(4) 用務の内容　(5) 支出した旅費の額</w:t>
      </w:r>
    </w:p>
    <w:p>
      <w:pPr>
        <w:spacing w:after="70"/>
        <w:ind w:left="220"/>
      </w:pPr>
      <w:r>
        <w:rPr>
          <w:rFonts w:ascii="游ゴシック" w:cs="游ゴシック" w:eastAsia="游ゴシック" w:hAnsi="游ゴシック"/>
          <w:color w:val="555F70"/>
          <w:sz w:val="18"/>
          <w:szCs w:val="18"/>
        </w:rPr>
        <w:t xml:space="preserve">※ 出張の事実を示す記録が残っていないと、日当が給与として課税される原因になります。報告書は必ず残してください。</w:t>
      </w:r>
    </w:p>
    <w:p>
      <w:pPr>
        <w:keepNext/>
        <w:spacing w:after="90" w:before="260"/>
      </w:pPr>
      <w:r>
        <w:rPr>
          <w:rFonts w:ascii="游明朝" w:cs="游明朝" w:eastAsia="游明朝" w:hAnsi="游明朝"/>
          <w:b/>
          <w:bCs/>
          <w:sz w:val="21"/>
          <w:szCs w:val="21"/>
        </w:rPr>
        <w:t xml:space="preserve">第11条（規程の改廃）</w:t>
      </w:r>
    </w:p>
    <w:p>
      <w:pPr>
        <w:spacing w:after="70"/>
      </w:pPr>
      <w:r>
        <w:rPr>
          <w:rFonts w:ascii="游明朝" w:cs="游明朝" w:eastAsia="游明朝" w:hAnsi="游明朝"/>
          <w:sz w:val="21"/>
          <w:szCs w:val="21"/>
        </w:rPr>
        <w:t xml:space="preserve">この規程の改廃は、【株主総会の決議／取締役の決定】による。</w:t>
      </w:r>
    </w:p>
    <w:p>
      <w:pPr>
        <w:spacing w:after="90" w:before="280"/>
      </w:pPr>
      <w:r>
        <w:rPr>
          <w:rFonts w:ascii="游明朝" w:cs="游明朝" w:eastAsia="游明朝" w:hAnsi="游明朝"/>
          <w:b/>
          <w:bCs/>
          <w:sz w:val="21"/>
          <w:szCs w:val="21"/>
        </w:rPr>
        <w:t xml:space="preserve">附則</w:t>
      </w:r>
    </w:p>
    <w:p>
      <w:pPr>
        <w:spacing w:after="70"/>
      </w:pPr>
      <w:r>
        <w:rPr>
          <w:rFonts w:ascii="游明朝" w:cs="游明朝" w:eastAsia="游明朝" w:hAnsi="游明朝"/>
          <w:sz w:val="21"/>
          <w:szCs w:val="21"/>
        </w:rPr>
        <w:t xml:space="preserve">この規程は、【　　　年　　月　　日】から施行する。</w:t>
      </w:r>
    </w:p>
    <w:p>
      <w:pPr>
        <w:pBdr>
          <w:bottom w:val="single" w:color="C9C4B4" w:sz="6"/>
        </w:pBdr>
        <w:spacing w:after="160" w:before="220"/>
      </w:pPr>
    </w:p>
    <w:p>
      <w:pPr>
        <w:spacing w:after="120" w:before="120"/>
      </w:pPr>
      <w:r>
        <w:rPr>
          <w:rFonts w:ascii="游明朝" w:cs="游明朝" w:eastAsia="游明朝" w:hAnsi="游明朝"/>
          <w:b/>
          <w:bCs/>
          <w:sz w:val="22"/>
          <w:szCs w:val="22"/>
        </w:rPr>
        <w:t xml:space="preserve">別表第1　国内出張旅費</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00"/>
        <w:gridCol w:w="2400"/>
        <w:gridCol w:w="2400"/>
        <w:gridCol w:w="2438"/>
      </w:tblGrid>
      <w:tr>
        <w:trPr>
          <w:tblHeader/>
        </w:trPr>
        <w:tc>
          <w:tcPr>
            <w:tcW w:type="dxa" w:w="2400"/>
            <w:shd w:fill="EFEDE6" w:color="auto" w:val="clear"/>
            <w:tcMar>
              <w:top w:type="dxa" w:w="70"/>
              <w:left w:type="dxa" w:w="110"/>
              <w:bottom w:type="dxa" w:w="70"/>
              <w:right w:type="dxa" w:w="110"/>
            </w:tcMar>
          </w:tcPr>
          <w:p>
            <w:pPr>
              <w:jc w:val="center"/>
            </w:pPr>
            <w:r>
              <w:rPr>
                <w:rFonts w:ascii="游明朝" w:cs="游明朝" w:eastAsia="游明朝" w:hAnsi="游明朝"/>
                <w:b/>
                <w:bCs/>
                <w:sz w:val="19"/>
                <w:szCs w:val="19"/>
              </w:rPr>
              <w:t xml:space="preserve">区分</w:t>
            </w:r>
          </w:p>
        </w:tc>
        <w:tc>
          <w:tcPr>
            <w:tcW w:type="dxa" w:w="2400"/>
            <w:shd w:fill="EFEDE6" w:color="auto" w:val="clear"/>
            <w:tcMar>
              <w:top w:type="dxa" w:w="70"/>
              <w:left w:type="dxa" w:w="110"/>
              <w:bottom w:type="dxa" w:w="70"/>
              <w:right w:type="dxa" w:w="110"/>
            </w:tcMar>
          </w:tcPr>
          <w:p>
            <w:pPr>
              <w:jc w:val="center"/>
            </w:pPr>
            <w:r>
              <w:rPr>
                <w:rFonts w:ascii="游明朝" w:cs="游明朝" w:eastAsia="游明朝" w:hAnsi="游明朝"/>
                <w:b/>
                <w:bCs/>
                <w:sz w:val="19"/>
                <w:szCs w:val="19"/>
              </w:rPr>
              <w:t xml:space="preserve">日当（日帰り）</w:t>
            </w:r>
          </w:p>
        </w:tc>
        <w:tc>
          <w:tcPr>
            <w:tcW w:type="dxa" w:w="2400"/>
            <w:shd w:fill="EFEDE6" w:color="auto" w:val="clear"/>
            <w:tcMar>
              <w:top w:type="dxa" w:w="70"/>
              <w:left w:type="dxa" w:w="110"/>
              <w:bottom w:type="dxa" w:w="70"/>
              <w:right w:type="dxa" w:w="110"/>
            </w:tcMar>
          </w:tcPr>
          <w:p>
            <w:pPr>
              <w:jc w:val="center"/>
            </w:pPr>
            <w:r>
              <w:rPr>
                <w:rFonts w:ascii="游明朝" w:cs="游明朝" w:eastAsia="游明朝" w:hAnsi="游明朝"/>
                <w:b/>
                <w:bCs/>
                <w:sz w:val="19"/>
                <w:szCs w:val="19"/>
              </w:rPr>
              <w:t xml:space="preserve">日当（宿泊）</w:t>
            </w:r>
          </w:p>
        </w:tc>
        <w:tc>
          <w:tcPr>
            <w:tcW w:type="dxa" w:w="2438"/>
            <w:shd w:fill="EFEDE6" w:color="auto" w:val="clear"/>
            <w:tcMar>
              <w:top w:type="dxa" w:w="70"/>
              <w:left w:type="dxa" w:w="110"/>
              <w:bottom w:type="dxa" w:w="70"/>
              <w:right w:type="dxa" w:w="110"/>
            </w:tcMar>
          </w:tcPr>
          <w:p>
            <w:pPr>
              <w:jc w:val="center"/>
            </w:pPr>
            <w:r>
              <w:rPr>
                <w:rFonts w:ascii="游明朝" w:cs="游明朝" w:eastAsia="游明朝" w:hAnsi="游明朝"/>
                <w:b/>
                <w:bCs/>
                <w:sz w:val="19"/>
                <w:szCs w:val="19"/>
              </w:rPr>
              <w:t xml:space="preserve">宿泊料（上限）</w:t>
            </w:r>
          </w:p>
        </w:tc>
      </w:tr>
      <w:tr>
        <w:trPr>
          <w:tblHeader w:val="false"/>
        </w:trPr>
        <w:tc>
          <w:tcPr>
            <w:tcW w:type="dxa" w:w="2400"/>
            <w:tcMar>
              <w:top w:type="dxa" w:w="70"/>
              <w:left w:type="dxa" w:w="110"/>
              <w:bottom w:type="dxa" w:w="70"/>
              <w:right w:type="dxa" w:w="110"/>
            </w:tcMar>
          </w:tcPr>
          <w:p>
            <w:pPr>
              <w:jc w:val="left"/>
            </w:pPr>
            <w:r>
              <w:rPr>
                <w:rFonts w:ascii="游明朝" w:cs="游明朝" w:eastAsia="游明朝" w:hAnsi="游明朝"/>
                <w:b w:val="false"/>
                <w:bCs w:val="false"/>
                <w:sz w:val="19"/>
                <w:szCs w:val="19"/>
              </w:rPr>
              <w:t xml:space="preserve">代表取締役</w:t>
            </w:r>
          </w:p>
        </w:tc>
        <w:tc>
          <w:tcPr>
            <w:tcW w:type="dxa" w:w="2400"/>
            <w:tcMar>
              <w:top w:type="dxa" w:w="70"/>
              <w:left w:type="dxa" w:w="110"/>
              <w:bottom w:type="dxa" w:w="70"/>
              <w:right w:type="dxa" w:w="110"/>
            </w:tcMar>
          </w:tcPr>
          <w:p>
            <w:pPr>
              <w:jc w:val="center"/>
            </w:pPr>
            <w:r>
              <w:rPr>
                <w:rFonts w:ascii="游明朝" w:cs="游明朝" w:eastAsia="游明朝" w:hAnsi="游明朝"/>
                <w:b w:val="false"/>
                <w:bCs w:val="false"/>
                <w:sz w:val="19"/>
                <w:szCs w:val="19"/>
              </w:rPr>
              <w:t xml:space="preserve">　　　　円</w:t>
            </w:r>
          </w:p>
        </w:tc>
        <w:tc>
          <w:tcPr>
            <w:tcW w:type="dxa" w:w="2400"/>
            <w:tcMar>
              <w:top w:type="dxa" w:w="70"/>
              <w:left w:type="dxa" w:w="110"/>
              <w:bottom w:type="dxa" w:w="70"/>
              <w:right w:type="dxa" w:w="110"/>
            </w:tcMar>
          </w:tcPr>
          <w:p>
            <w:pPr>
              <w:jc w:val="center"/>
            </w:pPr>
            <w:r>
              <w:rPr>
                <w:rFonts w:ascii="游明朝" w:cs="游明朝" w:eastAsia="游明朝" w:hAnsi="游明朝"/>
                <w:b w:val="false"/>
                <w:bCs w:val="false"/>
                <w:sz w:val="19"/>
                <w:szCs w:val="19"/>
              </w:rPr>
              <w:t xml:space="preserve">　　　　円</w:t>
            </w:r>
          </w:p>
        </w:tc>
        <w:tc>
          <w:tcPr>
            <w:tcW w:type="dxa" w:w="2438"/>
            <w:tcMar>
              <w:top w:type="dxa" w:w="70"/>
              <w:left w:type="dxa" w:w="110"/>
              <w:bottom w:type="dxa" w:w="70"/>
              <w:right w:type="dxa" w:w="110"/>
            </w:tcMar>
          </w:tcPr>
          <w:p>
            <w:pPr>
              <w:jc w:val="center"/>
            </w:pPr>
            <w:r>
              <w:rPr>
                <w:rFonts w:ascii="游明朝" w:cs="游明朝" w:eastAsia="游明朝" w:hAnsi="游明朝"/>
                <w:b w:val="false"/>
                <w:bCs w:val="false"/>
                <w:sz w:val="19"/>
                <w:szCs w:val="19"/>
              </w:rPr>
              <w:t xml:space="preserve">　　　　円</w:t>
            </w:r>
          </w:p>
        </w:tc>
      </w:tr>
      <w:tr>
        <w:trPr>
          <w:tblHeader w:val="false"/>
        </w:trPr>
        <w:tc>
          <w:tcPr>
            <w:tcW w:type="dxa" w:w="2400"/>
            <w:tcMar>
              <w:top w:type="dxa" w:w="70"/>
              <w:left w:type="dxa" w:w="110"/>
              <w:bottom w:type="dxa" w:w="70"/>
              <w:right w:type="dxa" w:w="110"/>
            </w:tcMar>
          </w:tcPr>
          <w:p>
            <w:pPr>
              <w:jc w:val="left"/>
            </w:pPr>
            <w:r>
              <w:rPr>
                <w:rFonts w:ascii="游明朝" w:cs="游明朝" w:eastAsia="游明朝" w:hAnsi="游明朝"/>
                <w:b w:val="false"/>
                <w:bCs w:val="false"/>
                <w:sz w:val="19"/>
                <w:szCs w:val="19"/>
              </w:rPr>
              <w:t xml:space="preserve">取締役</w:t>
            </w:r>
          </w:p>
        </w:tc>
        <w:tc>
          <w:tcPr>
            <w:tcW w:type="dxa" w:w="2400"/>
            <w:tcMar>
              <w:top w:type="dxa" w:w="70"/>
              <w:left w:type="dxa" w:w="110"/>
              <w:bottom w:type="dxa" w:w="70"/>
              <w:right w:type="dxa" w:w="110"/>
            </w:tcMar>
          </w:tcPr>
          <w:p>
            <w:pPr>
              <w:jc w:val="center"/>
            </w:pPr>
            <w:r>
              <w:rPr>
                <w:rFonts w:ascii="游明朝" w:cs="游明朝" w:eastAsia="游明朝" w:hAnsi="游明朝"/>
                <w:b w:val="false"/>
                <w:bCs w:val="false"/>
                <w:sz w:val="19"/>
                <w:szCs w:val="19"/>
              </w:rPr>
              <w:t xml:space="preserve">　　　　円</w:t>
            </w:r>
          </w:p>
        </w:tc>
        <w:tc>
          <w:tcPr>
            <w:tcW w:type="dxa" w:w="2400"/>
            <w:tcMar>
              <w:top w:type="dxa" w:w="70"/>
              <w:left w:type="dxa" w:w="110"/>
              <w:bottom w:type="dxa" w:w="70"/>
              <w:right w:type="dxa" w:w="110"/>
            </w:tcMar>
          </w:tcPr>
          <w:p>
            <w:pPr>
              <w:jc w:val="center"/>
            </w:pPr>
            <w:r>
              <w:rPr>
                <w:rFonts w:ascii="游明朝" w:cs="游明朝" w:eastAsia="游明朝" w:hAnsi="游明朝"/>
                <w:b w:val="false"/>
                <w:bCs w:val="false"/>
                <w:sz w:val="19"/>
                <w:szCs w:val="19"/>
              </w:rPr>
              <w:t xml:space="preserve">　　　　円</w:t>
            </w:r>
          </w:p>
        </w:tc>
        <w:tc>
          <w:tcPr>
            <w:tcW w:type="dxa" w:w="2438"/>
            <w:tcMar>
              <w:top w:type="dxa" w:w="70"/>
              <w:left w:type="dxa" w:w="110"/>
              <w:bottom w:type="dxa" w:w="70"/>
              <w:right w:type="dxa" w:w="110"/>
            </w:tcMar>
          </w:tcPr>
          <w:p>
            <w:pPr>
              <w:jc w:val="center"/>
            </w:pPr>
            <w:r>
              <w:rPr>
                <w:rFonts w:ascii="游明朝" w:cs="游明朝" w:eastAsia="游明朝" w:hAnsi="游明朝"/>
                <w:b w:val="false"/>
                <w:bCs w:val="false"/>
                <w:sz w:val="19"/>
                <w:szCs w:val="19"/>
              </w:rPr>
              <w:t xml:space="preserve">　　　　円</w:t>
            </w:r>
          </w:p>
        </w:tc>
      </w:tr>
      <w:tr>
        <w:trPr>
          <w:tblHeader w:val="false"/>
        </w:trPr>
        <w:tc>
          <w:tcPr>
            <w:tcW w:type="dxa" w:w="2400"/>
            <w:tcMar>
              <w:top w:type="dxa" w:w="70"/>
              <w:left w:type="dxa" w:w="110"/>
              <w:bottom w:type="dxa" w:w="70"/>
              <w:right w:type="dxa" w:w="110"/>
            </w:tcMar>
          </w:tcPr>
          <w:p>
            <w:pPr>
              <w:jc w:val="left"/>
            </w:pPr>
            <w:r>
              <w:rPr>
                <w:rFonts w:ascii="游明朝" w:cs="游明朝" w:eastAsia="游明朝" w:hAnsi="游明朝"/>
                <w:b w:val="false"/>
                <w:bCs w:val="false"/>
                <w:sz w:val="19"/>
                <w:szCs w:val="19"/>
              </w:rPr>
              <w:t xml:space="preserve">従業員</w:t>
            </w:r>
          </w:p>
        </w:tc>
        <w:tc>
          <w:tcPr>
            <w:tcW w:type="dxa" w:w="2400"/>
            <w:tcMar>
              <w:top w:type="dxa" w:w="70"/>
              <w:left w:type="dxa" w:w="110"/>
              <w:bottom w:type="dxa" w:w="70"/>
              <w:right w:type="dxa" w:w="110"/>
            </w:tcMar>
          </w:tcPr>
          <w:p>
            <w:pPr>
              <w:jc w:val="center"/>
            </w:pPr>
            <w:r>
              <w:rPr>
                <w:rFonts w:ascii="游明朝" w:cs="游明朝" w:eastAsia="游明朝" w:hAnsi="游明朝"/>
                <w:b w:val="false"/>
                <w:bCs w:val="false"/>
                <w:sz w:val="19"/>
                <w:szCs w:val="19"/>
              </w:rPr>
              <w:t xml:space="preserve">　　　　円</w:t>
            </w:r>
          </w:p>
        </w:tc>
        <w:tc>
          <w:tcPr>
            <w:tcW w:type="dxa" w:w="2400"/>
            <w:tcMar>
              <w:top w:type="dxa" w:w="70"/>
              <w:left w:type="dxa" w:w="110"/>
              <w:bottom w:type="dxa" w:w="70"/>
              <w:right w:type="dxa" w:w="110"/>
            </w:tcMar>
          </w:tcPr>
          <w:p>
            <w:pPr>
              <w:jc w:val="center"/>
            </w:pPr>
            <w:r>
              <w:rPr>
                <w:rFonts w:ascii="游明朝" w:cs="游明朝" w:eastAsia="游明朝" w:hAnsi="游明朝"/>
                <w:b w:val="false"/>
                <w:bCs w:val="false"/>
                <w:sz w:val="19"/>
                <w:szCs w:val="19"/>
              </w:rPr>
              <w:t xml:space="preserve">　　　　円</w:t>
            </w:r>
          </w:p>
        </w:tc>
        <w:tc>
          <w:tcPr>
            <w:tcW w:type="dxa" w:w="2438"/>
            <w:tcMar>
              <w:top w:type="dxa" w:w="70"/>
              <w:left w:type="dxa" w:w="110"/>
              <w:bottom w:type="dxa" w:w="70"/>
              <w:right w:type="dxa" w:w="110"/>
            </w:tcMar>
          </w:tcPr>
          <w:p>
            <w:pPr>
              <w:jc w:val="center"/>
            </w:pPr>
            <w:r>
              <w:rPr>
                <w:rFonts w:ascii="游明朝" w:cs="游明朝" w:eastAsia="游明朝" w:hAnsi="游明朝"/>
                <w:b w:val="false"/>
                <w:bCs w:val="false"/>
                <w:sz w:val="19"/>
                <w:szCs w:val="19"/>
              </w:rPr>
              <w:t xml:space="preserve">　　　　円</w:t>
            </w:r>
          </w:p>
        </w:tc>
      </w:tr>
    </w:tbl>
    <w:p>
      <w:pPr>
        <w:spacing w:after="80" w:before="160"/>
      </w:pPr>
      <w:r>
        <w:rPr>
          <w:rFonts w:ascii="游ゴシック" w:cs="游ゴシック" w:eastAsia="游ゴシック" w:hAnsi="游ゴシック"/>
          <w:b/>
          <w:bCs/>
          <w:sz w:val="19"/>
          <w:szCs w:val="19"/>
        </w:rPr>
        <w:t xml:space="preserve">金額を決めるときの目安</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438"/>
        <w:gridCol w:w="3200"/>
      </w:tblGrid>
      <w:tr>
        <w:trPr>
          <w:tblHeader/>
        </w:trPr>
        <w:tc>
          <w:tcPr>
            <w:tcW w:type="dxa" w:w="6438"/>
            <w:shd w:fill="EFEDE6" w:color="auto" w:val="clear"/>
            <w:tcMar>
              <w:top w:type="dxa" w:w="70"/>
              <w:left w:type="dxa" w:w="110"/>
              <w:bottom w:type="dxa" w:w="70"/>
              <w:right w:type="dxa" w:w="110"/>
            </w:tcMar>
          </w:tcPr>
          <w:p>
            <w:pPr>
              <w:jc w:val="center"/>
            </w:pPr>
            <w:r>
              <w:rPr>
                <w:rFonts w:ascii="游明朝" w:cs="游明朝" w:eastAsia="游明朝" w:hAnsi="游明朝"/>
                <w:b/>
                <w:bCs/>
                <w:sz w:val="19"/>
                <w:szCs w:val="19"/>
              </w:rPr>
              <w:t xml:space="preserve">調査項目（国内出張・日当）</w:t>
            </w:r>
          </w:p>
        </w:tc>
        <w:tc>
          <w:tcPr>
            <w:tcW w:type="dxa" w:w="3200"/>
            <w:shd w:fill="EFEDE6" w:color="auto" w:val="clear"/>
            <w:tcMar>
              <w:top w:type="dxa" w:w="70"/>
              <w:left w:type="dxa" w:w="110"/>
              <w:bottom w:type="dxa" w:w="70"/>
              <w:right w:type="dxa" w:w="110"/>
            </w:tcMar>
          </w:tcPr>
          <w:p>
            <w:pPr>
              <w:jc w:val="center"/>
            </w:pPr>
            <w:r>
              <w:rPr>
                <w:rFonts w:ascii="游明朝" w:cs="游明朝" w:eastAsia="游明朝" w:hAnsi="游明朝"/>
                <w:b/>
                <w:bCs/>
                <w:sz w:val="19"/>
                <w:szCs w:val="19"/>
              </w:rPr>
              <w:t xml:space="preserve">金額</w:t>
            </w:r>
          </w:p>
        </w:tc>
      </w:tr>
      <w:tr>
        <w:trPr>
          <w:tblHeader w:val="false"/>
        </w:trPr>
        <w:tc>
          <w:tcPr>
            <w:tcW w:type="dxa" w:w="6438"/>
            <w:tcMar>
              <w:top w:type="dxa" w:w="70"/>
              <w:left w:type="dxa" w:w="110"/>
              <w:bottom w:type="dxa" w:w="70"/>
              <w:right w:type="dxa" w:w="110"/>
            </w:tcMar>
          </w:tcPr>
          <w:p>
            <w:pPr>
              <w:jc w:val="left"/>
            </w:pPr>
            <w:r>
              <w:rPr>
                <w:rFonts w:ascii="游明朝" w:cs="游明朝" w:eastAsia="游明朝" w:hAnsi="游明朝"/>
                <w:b w:val="false"/>
                <w:bCs w:val="false"/>
                <w:sz w:val="19"/>
                <w:szCs w:val="19"/>
              </w:rPr>
              <w:t xml:space="preserve">平均</w:t>
            </w:r>
          </w:p>
        </w:tc>
        <w:tc>
          <w:tcPr>
            <w:tcW w:type="dxa" w:w="3200"/>
            <w:tcMar>
              <w:top w:type="dxa" w:w="70"/>
              <w:left w:type="dxa" w:w="110"/>
              <w:bottom w:type="dxa" w:w="70"/>
              <w:right w:type="dxa" w:w="110"/>
            </w:tcMar>
          </w:tcPr>
          <w:p>
            <w:pPr>
              <w:jc w:val="center"/>
            </w:pPr>
            <w:r>
              <w:rPr>
                <w:rFonts w:ascii="游明朝" w:cs="游明朝" w:eastAsia="游明朝" w:hAnsi="游明朝"/>
                <w:b w:val="false"/>
                <w:bCs w:val="false"/>
                <w:sz w:val="19"/>
                <w:szCs w:val="19"/>
              </w:rPr>
              <w:t xml:space="preserve">2,621円</w:t>
            </w:r>
          </w:p>
        </w:tc>
      </w:tr>
      <w:tr>
        <w:trPr>
          <w:tblHeader w:val="false"/>
        </w:trPr>
        <w:tc>
          <w:tcPr>
            <w:tcW w:type="dxa" w:w="6438"/>
            <w:tcMar>
              <w:top w:type="dxa" w:w="70"/>
              <w:left w:type="dxa" w:w="110"/>
              <w:bottom w:type="dxa" w:w="70"/>
              <w:right w:type="dxa" w:w="110"/>
            </w:tcMar>
          </w:tcPr>
          <w:p>
            <w:pPr>
              <w:jc w:val="left"/>
            </w:pPr>
            <w:r>
              <w:rPr>
                <w:rFonts w:ascii="游明朝" w:cs="游明朝" w:eastAsia="游明朝" w:hAnsi="游明朝"/>
                <w:b w:val="false"/>
                <w:bCs w:val="false"/>
                <w:sz w:val="19"/>
                <w:szCs w:val="19"/>
              </w:rPr>
              <w:t xml:space="preserve">最低額の平均</w:t>
            </w:r>
          </w:p>
        </w:tc>
        <w:tc>
          <w:tcPr>
            <w:tcW w:type="dxa" w:w="3200"/>
            <w:tcMar>
              <w:top w:type="dxa" w:w="70"/>
              <w:left w:type="dxa" w:w="110"/>
              <w:bottom w:type="dxa" w:w="70"/>
              <w:right w:type="dxa" w:w="110"/>
            </w:tcMar>
          </w:tcPr>
          <w:p>
            <w:pPr>
              <w:jc w:val="center"/>
            </w:pPr>
            <w:r>
              <w:rPr>
                <w:rFonts w:ascii="游明朝" w:cs="游明朝" w:eastAsia="游明朝" w:hAnsi="游明朝"/>
                <w:b w:val="false"/>
                <w:bCs w:val="false"/>
                <w:sz w:val="19"/>
                <w:szCs w:val="19"/>
              </w:rPr>
              <w:t xml:space="preserve">1,780円</w:t>
            </w:r>
          </w:p>
        </w:tc>
      </w:tr>
      <w:tr>
        <w:trPr>
          <w:tblHeader w:val="false"/>
        </w:trPr>
        <w:tc>
          <w:tcPr>
            <w:tcW w:type="dxa" w:w="6438"/>
            <w:tcMar>
              <w:top w:type="dxa" w:w="70"/>
              <w:left w:type="dxa" w:w="110"/>
              <w:bottom w:type="dxa" w:w="70"/>
              <w:right w:type="dxa" w:w="110"/>
            </w:tcMar>
          </w:tcPr>
          <w:p>
            <w:pPr>
              <w:jc w:val="left"/>
            </w:pPr>
            <w:r>
              <w:rPr>
                <w:rFonts w:ascii="游明朝" w:cs="游明朝" w:eastAsia="游明朝" w:hAnsi="游明朝"/>
                <w:b w:val="false"/>
                <w:bCs w:val="false"/>
                <w:sz w:val="19"/>
                <w:szCs w:val="19"/>
              </w:rPr>
              <w:t xml:space="preserve">最高額の平均</w:t>
            </w:r>
          </w:p>
        </w:tc>
        <w:tc>
          <w:tcPr>
            <w:tcW w:type="dxa" w:w="3200"/>
            <w:tcMar>
              <w:top w:type="dxa" w:w="70"/>
              <w:left w:type="dxa" w:w="110"/>
              <w:bottom w:type="dxa" w:w="70"/>
              <w:right w:type="dxa" w:w="110"/>
            </w:tcMar>
          </w:tcPr>
          <w:p>
            <w:pPr>
              <w:jc w:val="center"/>
            </w:pPr>
            <w:r>
              <w:rPr>
                <w:rFonts w:ascii="游明朝" w:cs="游明朝" w:eastAsia="游明朝" w:hAnsi="游明朝"/>
                <w:b w:val="false"/>
                <w:bCs w:val="false"/>
                <w:sz w:val="19"/>
                <w:szCs w:val="19"/>
              </w:rPr>
              <w:t xml:space="preserve">3,786円</w:t>
            </w:r>
          </w:p>
        </w:tc>
      </w:tr>
      <w:tr>
        <w:trPr>
          <w:tblHeader w:val="false"/>
        </w:trPr>
        <w:tc>
          <w:tcPr>
            <w:tcW w:type="dxa" w:w="6438"/>
            <w:tcMar>
              <w:top w:type="dxa" w:w="70"/>
              <w:left w:type="dxa" w:w="110"/>
              <w:bottom w:type="dxa" w:w="70"/>
              <w:right w:type="dxa" w:w="110"/>
            </w:tcMar>
          </w:tcPr>
          <w:p>
            <w:pPr>
              <w:jc w:val="left"/>
            </w:pPr>
            <w:r>
              <w:rPr>
                <w:rFonts w:ascii="游明朝" w:cs="游明朝" w:eastAsia="游明朝" w:hAnsi="游明朝"/>
                <w:b w:val="false"/>
                <w:bCs w:val="false"/>
                <w:sz w:val="19"/>
                <w:szCs w:val="19"/>
              </w:rPr>
              <w:t xml:space="preserve">海外出張の日当・平均</w:t>
            </w:r>
          </w:p>
        </w:tc>
        <w:tc>
          <w:tcPr>
            <w:tcW w:type="dxa" w:w="3200"/>
            <w:tcMar>
              <w:top w:type="dxa" w:w="70"/>
              <w:left w:type="dxa" w:w="110"/>
              <w:bottom w:type="dxa" w:w="70"/>
              <w:right w:type="dxa" w:w="110"/>
            </w:tcMar>
          </w:tcPr>
          <w:p>
            <w:pPr>
              <w:jc w:val="center"/>
            </w:pPr>
            <w:r>
              <w:rPr>
                <w:rFonts w:ascii="游明朝" w:cs="游明朝" w:eastAsia="游明朝" w:hAnsi="游明朝"/>
                <w:b w:val="false"/>
                <w:bCs w:val="false"/>
                <w:sz w:val="19"/>
                <w:szCs w:val="19"/>
              </w:rPr>
              <w:t xml:space="preserve">5,441円</w:t>
            </w:r>
          </w:p>
        </w:tc>
      </w:tr>
    </w:tbl>
    <w:p>
      <w:pPr>
        <w:spacing w:after="70"/>
        <w:ind w:left="220"/>
      </w:pPr>
      <w:r>
        <w:rPr>
          <w:rFonts w:ascii="游ゴシック" w:cs="游ゴシック" w:eastAsia="游ゴシック" w:hAnsi="游ゴシック"/>
          <w:color w:val="555F70"/>
          <w:sz w:val="18"/>
          <w:szCs w:val="18"/>
        </w:rPr>
        <w:t xml:space="preserve">出典：財務省「民間企業における出張旅費規程等に関するアンケート報告書」（令和5年8月）</w:t>
      </w:r>
    </w:p>
    <w:p>
      <w:pPr>
        <w:spacing w:after="70"/>
        <w:ind w:left="220"/>
      </w:pPr>
      <w:r>
        <w:rPr>
          <w:rFonts w:ascii="游ゴシック" w:cs="游ゴシック" w:eastAsia="游ゴシック" w:hAnsi="游ゴシック"/>
          <w:color w:val="555F70"/>
          <w:sz w:val="18"/>
          <w:szCs w:val="18"/>
        </w:rPr>
        <w:t xml:space="preserve">※ 上表は世間の相場を示すもので、この金額なら必ず認められるという基準ではありません。自社の規模・出張の実態に照らして設定してください。</w:t>
      </w:r>
    </w:p>
    <w:p>
      <w:pPr>
        <w:spacing w:after="120" w:before="300"/>
      </w:pPr>
      <w:r>
        <w:rPr>
          <w:rFonts w:ascii="游明朝" w:cs="游明朝" w:eastAsia="游明朝" w:hAnsi="游明朝"/>
          <w:b/>
          <w:bCs/>
          <w:sz w:val="22"/>
          <w:szCs w:val="22"/>
        </w:rPr>
        <w:t xml:space="preserve">別表第2　海外出張旅費</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838"/>
        <w:gridCol w:w="2900"/>
        <w:gridCol w:w="2900"/>
      </w:tblGrid>
      <w:tr>
        <w:trPr>
          <w:tblHeader/>
        </w:trPr>
        <w:tc>
          <w:tcPr>
            <w:tcW w:type="dxa" w:w="3838"/>
            <w:shd w:fill="EFEDE6" w:color="auto" w:val="clear"/>
            <w:tcMar>
              <w:top w:type="dxa" w:w="70"/>
              <w:left w:type="dxa" w:w="110"/>
              <w:bottom w:type="dxa" w:w="70"/>
              <w:right w:type="dxa" w:w="110"/>
            </w:tcMar>
          </w:tcPr>
          <w:p>
            <w:pPr>
              <w:jc w:val="center"/>
            </w:pPr>
            <w:r>
              <w:rPr>
                <w:rFonts w:ascii="游明朝" w:cs="游明朝" w:eastAsia="游明朝" w:hAnsi="游明朝"/>
                <w:b/>
                <w:bCs/>
                <w:sz w:val="19"/>
                <w:szCs w:val="19"/>
              </w:rPr>
              <w:t xml:space="preserve">地域区分</w:t>
            </w:r>
          </w:p>
        </w:tc>
        <w:tc>
          <w:tcPr>
            <w:tcW w:type="dxa" w:w="2900"/>
            <w:shd w:fill="EFEDE6" w:color="auto" w:val="clear"/>
            <w:tcMar>
              <w:top w:type="dxa" w:w="70"/>
              <w:left w:type="dxa" w:w="110"/>
              <w:bottom w:type="dxa" w:w="70"/>
              <w:right w:type="dxa" w:w="110"/>
            </w:tcMar>
          </w:tcPr>
          <w:p>
            <w:pPr>
              <w:jc w:val="center"/>
            </w:pPr>
            <w:r>
              <w:rPr>
                <w:rFonts w:ascii="游明朝" w:cs="游明朝" w:eastAsia="游明朝" w:hAnsi="游明朝"/>
                <w:b/>
                <w:bCs/>
                <w:sz w:val="19"/>
                <w:szCs w:val="19"/>
              </w:rPr>
              <w:t xml:space="preserve">日当（1日あたり）</w:t>
            </w:r>
          </w:p>
        </w:tc>
        <w:tc>
          <w:tcPr>
            <w:tcW w:type="dxa" w:w="2900"/>
            <w:shd w:fill="EFEDE6" w:color="auto" w:val="clear"/>
            <w:tcMar>
              <w:top w:type="dxa" w:w="70"/>
              <w:left w:type="dxa" w:w="110"/>
              <w:bottom w:type="dxa" w:w="70"/>
              <w:right w:type="dxa" w:w="110"/>
            </w:tcMar>
          </w:tcPr>
          <w:p>
            <w:pPr>
              <w:jc w:val="center"/>
            </w:pPr>
            <w:r>
              <w:rPr>
                <w:rFonts w:ascii="游明朝" w:cs="游明朝" w:eastAsia="游明朝" w:hAnsi="游明朝"/>
                <w:b/>
                <w:bCs/>
                <w:sz w:val="19"/>
                <w:szCs w:val="19"/>
              </w:rPr>
              <w:t xml:space="preserve">宿泊料（上限）</w:t>
            </w:r>
          </w:p>
        </w:tc>
      </w:tr>
      <w:tr>
        <w:trPr>
          <w:tblHeader w:val="false"/>
        </w:trPr>
        <w:tc>
          <w:tcPr>
            <w:tcW w:type="dxa" w:w="3838"/>
            <w:tcMar>
              <w:top w:type="dxa" w:w="70"/>
              <w:left w:type="dxa" w:w="110"/>
              <w:bottom w:type="dxa" w:w="70"/>
              <w:right w:type="dxa" w:w="110"/>
            </w:tcMar>
          </w:tcPr>
          <w:p>
            <w:pPr>
              <w:jc w:val="left"/>
            </w:pPr>
            <w:r>
              <w:rPr>
                <w:rFonts w:ascii="游明朝" w:cs="游明朝" w:eastAsia="游明朝" w:hAnsi="游明朝"/>
                <w:b w:val="false"/>
                <w:bCs w:val="false"/>
                <w:sz w:val="19"/>
                <w:szCs w:val="19"/>
              </w:rPr>
              <w:t xml:space="preserve">甲地域（　　　　　　　）</w:t>
            </w:r>
          </w:p>
        </w:tc>
        <w:tc>
          <w:tcPr>
            <w:tcW w:type="dxa" w:w="2900"/>
            <w:tcMar>
              <w:top w:type="dxa" w:w="70"/>
              <w:left w:type="dxa" w:w="110"/>
              <w:bottom w:type="dxa" w:w="70"/>
              <w:right w:type="dxa" w:w="110"/>
            </w:tcMar>
          </w:tcPr>
          <w:p>
            <w:pPr>
              <w:jc w:val="center"/>
            </w:pPr>
            <w:r>
              <w:rPr>
                <w:rFonts w:ascii="游明朝" w:cs="游明朝" w:eastAsia="游明朝" w:hAnsi="游明朝"/>
                <w:b w:val="false"/>
                <w:bCs w:val="false"/>
                <w:sz w:val="19"/>
                <w:szCs w:val="19"/>
              </w:rPr>
              <w:t xml:space="preserve">　　　　円</w:t>
            </w:r>
          </w:p>
        </w:tc>
        <w:tc>
          <w:tcPr>
            <w:tcW w:type="dxa" w:w="2900"/>
            <w:tcMar>
              <w:top w:type="dxa" w:w="70"/>
              <w:left w:type="dxa" w:w="110"/>
              <w:bottom w:type="dxa" w:w="70"/>
              <w:right w:type="dxa" w:w="110"/>
            </w:tcMar>
          </w:tcPr>
          <w:p>
            <w:pPr>
              <w:jc w:val="center"/>
            </w:pPr>
            <w:r>
              <w:rPr>
                <w:rFonts w:ascii="游明朝" w:cs="游明朝" w:eastAsia="游明朝" w:hAnsi="游明朝"/>
                <w:b w:val="false"/>
                <w:bCs w:val="false"/>
                <w:sz w:val="19"/>
                <w:szCs w:val="19"/>
              </w:rPr>
              <w:t xml:space="preserve">　　　　円</w:t>
            </w:r>
          </w:p>
        </w:tc>
      </w:tr>
      <w:tr>
        <w:trPr>
          <w:tblHeader w:val="false"/>
        </w:trPr>
        <w:tc>
          <w:tcPr>
            <w:tcW w:type="dxa" w:w="3838"/>
            <w:tcMar>
              <w:top w:type="dxa" w:w="70"/>
              <w:left w:type="dxa" w:w="110"/>
              <w:bottom w:type="dxa" w:w="70"/>
              <w:right w:type="dxa" w:w="110"/>
            </w:tcMar>
          </w:tcPr>
          <w:p>
            <w:pPr>
              <w:jc w:val="left"/>
            </w:pPr>
            <w:r>
              <w:rPr>
                <w:rFonts w:ascii="游明朝" w:cs="游明朝" w:eastAsia="游明朝" w:hAnsi="游明朝"/>
                <w:b w:val="false"/>
                <w:bCs w:val="false"/>
                <w:sz w:val="19"/>
                <w:szCs w:val="19"/>
              </w:rPr>
              <w:t xml:space="preserve">乙地域（　　　　　　　）</w:t>
            </w:r>
          </w:p>
        </w:tc>
        <w:tc>
          <w:tcPr>
            <w:tcW w:type="dxa" w:w="2900"/>
            <w:tcMar>
              <w:top w:type="dxa" w:w="70"/>
              <w:left w:type="dxa" w:w="110"/>
              <w:bottom w:type="dxa" w:w="70"/>
              <w:right w:type="dxa" w:w="110"/>
            </w:tcMar>
          </w:tcPr>
          <w:p>
            <w:pPr>
              <w:jc w:val="center"/>
            </w:pPr>
            <w:r>
              <w:rPr>
                <w:rFonts w:ascii="游明朝" w:cs="游明朝" w:eastAsia="游明朝" w:hAnsi="游明朝"/>
                <w:b w:val="false"/>
                <w:bCs w:val="false"/>
                <w:sz w:val="19"/>
                <w:szCs w:val="19"/>
              </w:rPr>
              <w:t xml:space="preserve">　　　　円</w:t>
            </w:r>
          </w:p>
        </w:tc>
        <w:tc>
          <w:tcPr>
            <w:tcW w:type="dxa" w:w="2900"/>
            <w:tcMar>
              <w:top w:type="dxa" w:w="70"/>
              <w:left w:type="dxa" w:w="110"/>
              <w:bottom w:type="dxa" w:w="70"/>
              <w:right w:type="dxa" w:w="110"/>
            </w:tcMar>
          </w:tcPr>
          <w:p>
            <w:pPr>
              <w:jc w:val="center"/>
            </w:pPr>
            <w:r>
              <w:rPr>
                <w:rFonts w:ascii="游明朝" w:cs="游明朝" w:eastAsia="游明朝" w:hAnsi="游明朝"/>
                <w:b w:val="false"/>
                <w:bCs w:val="false"/>
                <w:sz w:val="19"/>
                <w:szCs w:val="19"/>
              </w:rPr>
              <w:t xml:space="preserve">　　　　円</w:t>
            </w:r>
          </w:p>
        </w:tc>
      </w:tr>
    </w:tbl>
    <w:p>
      <w:pPr>
        <w:spacing w:after="70"/>
        <w:ind w:left="220"/>
      </w:pPr>
      <w:r>
        <w:rPr>
          <w:rFonts w:ascii="游ゴシック" w:cs="游ゴシック" w:eastAsia="游ゴシック" w:hAnsi="游ゴシック"/>
          <w:color w:val="555F70"/>
          <w:sz w:val="18"/>
          <w:szCs w:val="18"/>
        </w:rPr>
        <w:t xml:space="preserve">※ 海外出張がない場合は、別表第2および第3条第3号を削除してお使いください。</w:t>
      </w:r>
    </w:p>
    <w:p>
      <w:pPr>
        <w:pageBreakBefore/>
        <w:spacing w:after="60"/>
      </w:pPr>
      <w:r>
        <w:rPr>
          <w:rFonts w:ascii="游明朝" w:cs="游明朝" w:eastAsia="游明朝" w:hAnsi="游明朝"/>
          <w:b/>
          <w:bCs/>
          <w:sz w:val="26"/>
          <w:szCs w:val="26"/>
        </w:rPr>
        <w:t xml:space="preserve">この規程を使う前に</w:t>
      </w:r>
    </w:p>
    <w:p>
      <w:pPr>
        <w:spacing w:after="200"/>
      </w:pPr>
      <w:r>
        <w:rPr>
          <w:rFonts w:ascii="游ゴシック" w:cs="游ゴシック" w:eastAsia="游ゴシック" w:hAnsi="游ゴシック"/>
          <w:color w:val="6B7183"/>
          <w:sz w:val="18"/>
          <w:szCs w:val="18"/>
        </w:rPr>
        <w:t xml:space="preserve">以下は解説です。規程として使用する際は、このページを削除してください。</w:t>
      </w:r>
    </w:p>
    <w:p>
      <w:pPr>
        <w:keepNext/>
        <w:pBdr>
          <w:left w:val="single" w:color="C9A227" w:sz="18" w:space="8"/>
        </w:pBdr>
        <w:spacing w:after="90" w:before="240"/>
      </w:pPr>
      <w:r>
        <w:rPr>
          <w:rFonts w:ascii="游ゴシック" w:cs="游ゴシック" w:eastAsia="游ゴシック" w:hAnsi="游ゴシック"/>
          <w:b/>
          <w:bCs/>
          <w:color w:val="0F2C5C"/>
          <w:sz w:val="21"/>
          <w:szCs w:val="21"/>
        </w:rPr>
        <w:t xml:space="preserve">1. 日当が非課税になる根拠</w:t>
      </w:r>
    </w:p>
    <w:p>
      <w:pPr>
        <w:spacing w:after="90"/>
      </w:pPr>
      <w:r>
        <w:rPr>
          <w:rFonts w:ascii="游ゴシック" w:cs="游ゴシック" w:eastAsia="游ゴシック" w:hAnsi="游ゴシック"/>
          <w:sz w:val="20"/>
          <w:szCs w:val="20"/>
        </w:rPr>
        <w:t xml:space="preserve">出張日当は、所得税法第9条第1項第4号により、その旅行について通常必要であると認められるものは非課税とされています。受け取った社長・従業員に所得税がかからず、会社では損金になります。</w:t>
      </w:r>
    </w:p>
    <w:p>
      <w:pPr>
        <w:spacing w:after="90"/>
      </w:pPr>
      <w:r>
        <w:rPr>
          <w:rFonts w:ascii="游ゴシック" w:cs="游ゴシック" w:eastAsia="游ゴシック" w:hAnsi="游ゴシック"/>
          <w:sz w:val="20"/>
          <w:szCs w:val="20"/>
        </w:rPr>
        <w:t xml:space="preserve">ただし「通常必要」と認められるかどうかの判定基準が、所得税基本通達9-3に次の2つとして定められています。</w:t>
      </w:r>
    </w:p>
    <w:p>
      <w:pPr>
        <w:spacing w:after="90"/>
      </w:pPr>
      <w:r>
        <w:rPr>
          <w:rFonts w:ascii="游ゴシック" w:cs="游ゴシック" w:eastAsia="游ゴシック" w:hAnsi="游ゴシック"/>
          <w:sz w:val="20"/>
          <w:szCs w:val="20"/>
        </w:rPr>
        <w:t xml:space="preserve">(1) その支給額が、その支給をする使用者等の役員及び使用人の全てを通じて適正なバランスが保たれている基準によって計算されたものであるかどうか。</w:t>
      </w:r>
    </w:p>
    <w:p>
      <w:pPr>
        <w:spacing w:after="90"/>
      </w:pPr>
      <w:r>
        <w:rPr>
          <w:rFonts w:ascii="游ゴシック" w:cs="游ゴシック" w:eastAsia="游ゴシック" w:hAnsi="游ゴシック"/>
          <w:sz w:val="20"/>
          <w:szCs w:val="20"/>
        </w:rPr>
        <w:t xml:space="preserve">(2) その支給額が、その支給をする使用者等と同業種、同規模の他の使用者等が一般的に支給している金額に照らして相当と認められるものであるかどうか。</w:t>
      </w:r>
    </w:p>
    <w:p>
      <w:pPr>
        <w:spacing w:after="90"/>
      </w:pPr>
      <w:r>
        <w:rPr>
          <w:rFonts w:ascii="游ゴシック" w:cs="游ゴシック" w:eastAsia="游ゴシック" w:hAnsi="游ゴシック"/>
          <w:sz w:val="20"/>
          <w:szCs w:val="20"/>
        </w:rPr>
        <w:t xml:space="preserve">この範囲を超える部分は、所得税基本通達9-4により給与所得として課税されます。役員だけ突出して高い日当を設定すると、(1)の基準に反することになります。</w:t>
      </w:r>
    </w:p>
    <w:p>
      <w:pPr>
        <w:keepNext/>
        <w:pBdr>
          <w:left w:val="single" w:color="C9A227" w:sz="18" w:space="8"/>
        </w:pBdr>
        <w:spacing w:after="90" w:before="240"/>
      </w:pPr>
      <w:r>
        <w:rPr>
          <w:rFonts w:ascii="游ゴシック" w:cs="游ゴシック" w:eastAsia="游ゴシック" w:hAnsi="游ゴシック"/>
          <w:b/>
          <w:bCs/>
          <w:color w:val="0F2C5C"/>
          <w:sz w:val="21"/>
          <w:szCs w:val="21"/>
        </w:rPr>
        <w:t xml:space="preserve">2. 規程がないと日当は支給できません</w:t>
      </w:r>
    </w:p>
    <w:p>
      <w:pPr>
        <w:spacing w:after="90"/>
      </w:pPr>
      <w:r>
        <w:rPr>
          <w:rFonts w:ascii="游ゴシック" w:cs="游ゴシック" w:eastAsia="游ゴシック" w:hAnsi="游ゴシック"/>
          <w:sz w:val="20"/>
          <w:szCs w:val="20"/>
        </w:rPr>
        <w:t xml:space="preserve">非課税で日当を支給するには、あらかじめ規程を定め、その規程どおりに運用していることが前提になります。規程がないまま日当だけを支払うと、全額が給与として課税される可能性があります。</w:t>
      </w:r>
    </w:p>
    <w:p>
      <w:pPr>
        <w:spacing w:after="90"/>
      </w:pPr>
      <w:r>
        <w:rPr>
          <w:rFonts w:ascii="游ゴシック" w:cs="游ゴシック" w:eastAsia="游ゴシック" w:hAnsi="游ゴシック"/>
          <w:sz w:val="20"/>
          <w:szCs w:val="20"/>
        </w:rPr>
        <w:t xml:space="preserve">一人社長の会社であっても、規程の作成・施行の手続を踏み、日付を入れて書面で残してください。</w:t>
      </w:r>
    </w:p>
    <w:p>
      <w:pPr>
        <w:keepNext/>
        <w:pBdr>
          <w:left w:val="single" w:color="C9A227" w:sz="18" w:space="8"/>
        </w:pBdr>
        <w:spacing w:after="90" w:before="240"/>
      </w:pPr>
      <w:r>
        <w:rPr>
          <w:rFonts w:ascii="游ゴシック" w:cs="游ゴシック" w:eastAsia="游ゴシック" w:hAnsi="游ゴシック"/>
          <w:b/>
          <w:bCs/>
          <w:color w:val="0F2C5C"/>
          <w:sz w:val="21"/>
          <w:szCs w:val="21"/>
        </w:rPr>
        <w:t xml:space="preserve">3. 消費税の取扱い</w:t>
      </w:r>
    </w:p>
    <w:p>
      <w:pPr>
        <w:spacing w:after="90"/>
      </w:pPr>
      <w:r>
        <w:rPr>
          <w:rFonts w:ascii="游ゴシック" w:cs="游ゴシック" w:eastAsia="游ゴシック" w:hAnsi="游ゴシック"/>
          <w:sz w:val="20"/>
          <w:szCs w:val="20"/>
        </w:rPr>
        <w:t xml:space="preserve">国内出張の日当・宿泊費・交通費のうち、その旅行について通常必要であると認められる部分の金額は課税仕入れになります。海外出張の場合は、原則として課税仕入れになりません。</w:t>
      </w:r>
    </w:p>
    <w:p>
      <w:pPr>
        <w:spacing w:after="90"/>
      </w:pPr>
      <w:r>
        <w:rPr>
          <w:rFonts w:ascii="游ゴシック" w:cs="游ゴシック" w:eastAsia="游ゴシック" w:hAnsi="游ゴシック"/>
          <w:sz w:val="20"/>
          <w:szCs w:val="20"/>
        </w:rPr>
        <w:t xml:space="preserve">また、これらの出張旅費等については、一定の事項を記載した帳簿のみの保存で仕入税額控除が可能とされており、適格請求書（インボイス）の保存は不要です。</w:t>
      </w:r>
    </w:p>
    <w:p>
      <w:pPr>
        <w:spacing w:after="90"/>
      </w:pPr>
      <w:r>
        <w:rPr>
          <w:rFonts w:ascii="游ゴシック" w:cs="游ゴシック" w:eastAsia="游ゴシック" w:hAnsi="游ゴシック"/>
          <w:sz w:val="20"/>
          <w:szCs w:val="20"/>
        </w:rPr>
        <w:t xml:space="preserve">根拠：消費税法第30条、消費税法施行令第49条、消費税法施行規則第15条の4、消費税法基本通達11-6-4・11-6-5（国税庁タックスアンサーNo.6459）</w:t>
      </w:r>
    </w:p>
    <w:p>
      <w:pPr>
        <w:keepNext/>
        <w:pBdr>
          <w:left w:val="single" w:color="C9A227" w:sz="18" w:space="8"/>
        </w:pBdr>
        <w:spacing w:after="90" w:before="240"/>
      </w:pPr>
      <w:r>
        <w:rPr>
          <w:rFonts w:ascii="游ゴシック" w:cs="游ゴシック" w:eastAsia="游ゴシック" w:hAnsi="游ゴシック"/>
          <w:b/>
          <w:bCs/>
          <w:color w:val="0F2C5C"/>
          <w:sz w:val="21"/>
          <w:szCs w:val="21"/>
        </w:rPr>
        <w:t xml:space="preserve">4. 税務調査で見られるところ</w:t>
      </w:r>
    </w:p>
    <w:p>
      <w:pPr>
        <w:spacing w:after="90"/>
      </w:pPr>
      <w:r>
        <w:rPr>
          <w:rFonts w:ascii="游ゴシック" w:cs="游ゴシック" w:eastAsia="游ゴシック" w:hAnsi="游ゴシック"/>
          <w:sz w:val="20"/>
          <w:szCs w:val="20"/>
        </w:rPr>
        <w:t xml:space="preserve">・規程の施行日より前の出張に日当を支給していないか</w:t>
      </w:r>
    </w:p>
    <w:p>
      <w:pPr>
        <w:spacing w:after="90"/>
      </w:pPr>
      <w:r>
        <w:rPr>
          <w:rFonts w:ascii="游ゴシック" w:cs="游ゴシック" w:eastAsia="游ゴシック" w:hAnsi="游ゴシック"/>
          <w:sz w:val="20"/>
          <w:szCs w:val="20"/>
        </w:rPr>
        <w:t xml:space="preserve">・規程に定めた額と、実際に支給した額が一致しているか</w:t>
      </w:r>
    </w:p>
    <w:p>
      <w:pPr>
        <w:spacing w:after="90"/>
      </w:pPr>
      <w:r>
        <w:rPr>
          <w:rFonts w:ascii="游ゴシック" w:cs="游ゴシック" w:eastAsia="游ゴシック" w:hAnsi="游ゴシック"/>
          <w:sz w:val="20"/>
          <w:szCs w:val="20"/>
        </w:rPr>
        <w:t xml:space="preserve">・出張の事実を示す記録（出張報告書、訪問先、交通費の領収書）が残っているか</w:t>
      </w:r>
    </w:p>
    <w:p>
      <w:pPr>
        <w:spacing w:after="90"/>
      </w:pPr>
      <w:r>
        <w:rPr>
          <w:rFonts w:ascii="游ゴシック" w:cs="游ゴシック" w:eastAsia="游ゴシック" w:hAnsi="游ゴシック"/>
          <w:sz w:val="20"/>
          <w:szCs w:val="20"/>
        </w:rPr>
        <w:t xml:space="preserve">・役員と従業員の間で、金額の差が説明できる範囲に収まっているか</w:t>
      </w:r>
    </w:p>
    <w:p>
      <w:pPr>
        <w:pBdr>
          <w:top w:val="single" w:color="C9C4B4" w:sz="6"/>
        </w:pBdr>
        <w:spacing w:after="60" w:before="320"/>
      </w:pPr>
    </w:p>
    <w:p>
      <w:pPr>
        <w:spacing w:before="120"/>
      </w:pPr>
      <w:r>
        <w:rPr>
          <w:rFonts w:ascii="游ゴシック" w:cs="游ゴシック" w:eastAsia="游ゴシック" w:hAnsi="游ゴシック"/>
          <w:b/>
          <w:bCs/>
          <w:color w:val="0F2C5C"/>
          <w:sz w:val="19"/>
          <w:szCs w:val="19"/>
        </w:rPr>
        <w:t xml:space="preserve">田澤壱高税理士事務所（青森市）</w:t>
      </w:r>
    </w:p>
    <w:p>
      <w:r>
        <w:rPr>
          <w:rFonts w:ascii="游ゴシック" w:cs="游ゴシック" w:eastAsia="游ゴシック" w:hAnsi="游ゴシック"/>
          <w:color w:val="6B7183"/>
          <w:sz w:val="18"/>
          <w:szCs w:val="18"/>
        </w:rPr>
        <w:t xml:space="preserve">www.kazutax.website　個人事業主・法人の税務顧問と、相続税・贈与税の申告</w:t>
      </w:r>
    </w:p>
    <w:p>
      <w:pPr>
        <w:spacing w:before="100"/>
      </w:pPr>
      <w:r>
        <w:rPr>
          <w:rFonts w:ascii="游ゴシック" w:cs="游ゴシック" w:eastAsia="游ゴシック" w:hAnsi="游ゴシック"/>
          <w:color w:val="6B7183"/>
          <w:sz w:val="17"/>
          <w:szCs w:val="17"/>
        </w:rPr>
        <w:t xml:space="preserve">本ひな形は一般的な内容を示すものです。実際の運用にあたっては、自社の実態に合わせた調整が必要です。個別の判断については税理士にご相談ください。</w:t>
      </w:r>
    </w:p>
    <w:sectPr>
      <w:footerReference w:type="default" r:id="rId7"/>
      <w:pgSz w:w="11905" w:h="16837"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游ゴシック" w:cs="游ゴシック" w:eastAsia="游ゴシック" w:hAnsi="游ゴシック"/>
        <w:color w:val="8A8F9C"/>
        <w:sz w:val="17"/>
        <w:szCs w:val="17"/>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游明朝" w:cs="游明朝" w:eastAsia="游明朝" w:hAnsi="游明朝"/>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2026-09-06T10:55:51.853Z</dcterms:created>
  <dcterms:modified xsi:type="dcterms:W3CDTF">2026-09-06T10:55:51.854Z</dcterms:modified>
</cp:coreProperties>
</file>

<file path=docProps/custom.xml><?xml version="1.0" encoding="utf-8"?>
<Properties xmlns="http://schemas.openxmlformats.org/officeDocument/2006/custom-properties" xmlns:vt="http://schemas.openxmlformats.org/officeDocument/2006/docPropsVTypes"/>
</file>